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D.STG.1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color w:val="330000"/>
          <w:sz w:val="20"/>
          <w:szCs w:val="20"/>
          <w:highlight w:val="white"/>
        </w:rPr>
      </w:pPr>
      <w:r w:rsidDel="00000000" w:rsidR="00000000" w:rsidRPr="00000000">
        <w:rPr>
          <w:color w:val="330000"/>
          <w:highlight w:val="white"/>
          <w:rtl w:val="0"/>
        </w:rPr>
        <w:t xml:space="preserve">1. </w:t>
      </w:r>
      <w:r w:rsidDel="00000000" w:rsidR="00000000" w:rsidRPr="00000000">
        <w:rPr>
          <w:color w:val="330000"/>
          <w:sz w:val="20"/>
          <w:szCs w:val="20"/>
          <w:highlight w:val="white"/>
          <w:rtl w:val="0"/>
        </w:rPr>
        <w:t xml:space="preserve">After reading the transcript of this case's decision, explain why Justice Harlan's dissenting opinion is correct.</w:t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color w:val="330000"/>
          <w:highlight w:val="white"/>
        </w:rPr>
      </w:pPr>
      <w:r w:rsidDel="00000000" w:rsidR="00000000" w:rsidRPr="00000000">
        <w:rPr>
          <w:color w:val="330000"/>
          <w:highlight w:val="white"/>
          <w:rtl w:val="0"/>
        </w:rPr>
        <w:t xml:space="preserve">    Be sure to include the following in your answer: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220" w:before="220" w:lineRule="auto"/>
        <w:ind w:left="720" w:hanging="360"/>
        <w:contextualSpacing w:val="1"/>
        <w:rPr/>
      </w:pPr>
      <w:r w:rsidDel="00000000" w:rsidR="00000000" w:rsidRPr="00000000">
        <w:rPr>
          <w:color w:val="330000"/>
          <w:highlight w:val="white"/>
          <w:rtl w:val="0"/>
        </w:rPr>
        <w:t xml:space="preserve">the main idea of the dissenting opinion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220" w:before="220" w:lineRule="auto"/>
        <w:ind w:left="720" w:hanging="360"/>
        <w:contextualSpacing w:val="1"/>
        <w:rPr/>
      </w:pPr>
      <w:r w:rsidDel="00000000" w:rsidR="00000000" w:rsidRPr="00000000">
        <w:rPr>
          <w:color w:val="330000"/>
          <w:highlight w:val="white"/>
          <w:rtl w:val="0"/>
        </w:rPr>
        <w:t xml:space="preserve">at least three reasons why this opinion is correct</w:t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color w:val="33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color w:val="330000"/>
          <w:sz w:val="20"/>
          <w:szCs w:val="20"/>
          <w:highlight w:val="white"/>
        </w:rPr>
      </w:pPr>
      <w:r w:rsidDel="00000000" w:rsidR="00000000" w:rsidRPr="00000000">
        <w:rPr>
          <w:color w:val="330000"/>
          <w:highlight w:val="white"/>
          <w:rtl w:val="0"/>
        </w:rPr>
        <w:t xml:space="preserve">2. </w:t>
      </w:r>
      <w:r w:rsidDel="00000000" w:rsidR="00000000" w:rsidRPr="00000000">
        <w:rPr>
          <w:color w:val="330000"/>
          <w:sz w:val="20"/>
          <w:szCs w:val="20"/>
          <w:highlight w:val="white"/>
          <w:rtl w:val="0"/>
        </w:rPr>
        <w:t xml:space="preserve">Read this quote from the play: “…fate has been as pitiless in her dealings with me as a storm is to a small ship.” Explain the meaning of this quote.</w:t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color w:val="330000"/>
          <w:highlight w:val="white"/>
        </w:rPr>
      </w:pPr>
      <w:r w:rsidDel="00000000" w:rsidR="00000000" w:rsidRPr="00000000">
        <w:rPr>
          <w:color w:val="330000"/>
          <w:highlight w:val="white"/>
          <w:rtl w:val="0"/>
        </w:rPr>
        <w:t xml:space="preserve">    In your answer, address the following: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after="220" w:before="22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color w:val="330000"/>
          <w:sz w:val="20"/>
          <w:szCs w:val="20"/>
          <w:highlight w:val="white"/>
          <w:rtl w:val="0"/>
        </w:rPr>
        <w:t xml:space="preserve">Discuss who used this quote.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after="220" w:before="22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color w:val="330000"/>
          <w:sz w:val="20"/>
          <w:szCs w:val="20"/>
          <w:highlight w:val="white"/>
          <w:rtl w:val="0"/>
        </w:rPr>
        <w:t xml:space="preserve">What is its meaning?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after="220" w:before="22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color w:val="330000"/>
          <w:sz w:val="20"/>
          <w:szCs w:val="20"/>
          <w:highlight w:val="white"/>
          <w:rtl w:val="0"/>
        </w:rPr>
        <w:t xml:space="preserve">Why did the person use the quote and what does he/she say he/she will do?</w:t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color w:val="330000"/>
          <w:highlight w:val="white"/>
        </w:rPr>
      </w:pPr>
      <w:r w:rsidDel="00000000" w:rsidR="00000000" w:rsidRPr="00000000">
        <w:rPr>
          <w:color w:val="330000"/>
          <w:highlight w:val="white"/>
          <w:rtl w:val="0"/>
        </w:rPr>
        <w:t xml:space="preserve">   </w:t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color w:val="330000"/>
          <w:sz w:val="20"/>
          <w:szCs w:val="20"/>
          <w:highlight w:val="white"/>
        </w:rPr>
      </w:pPr>
      <w:r w:rsidDel="00000000" w:rsidR="00000000" w:rsidRPr="00000000">
        <w:rPr>
          <w:color w:val="330000"/>
          <w:highlight w:val="white"/>
          <w:rtl w:val="0"/>
        </w:rPr>
        <w:t xml:space="preserve">3. </w:t>
      </w:r>
      <w:r w:rsidDel="00000000" w:rsidR="00000000" w:rsidRPr="00000000">
        <w:rPr>
          <w:color w:val="330000"/>
          <w:sz w:val="20"/>
          <w:szCs w:val="20"/>
          <w:highlight w:val="white"/>
          <w:rtl w:val="0"/>
        </w:rPr>
        <w:t xml:space="preserve">Lopakhin calls Gayev an “old woman,” when in fact Gayev acts quite the opposite. What are some clues from the story that Gayev is immature? </w:t>
      </w:r>
    </w:p>
    <w:p w:rsidR="00000000" w:rsidDel="00000000" w:rsidP="00000000" w:rsidRDefault="00000000" w:rsidRPr="00000000">
      <w:pPr>
        <w:pBdr/>
        <w:spacing w:after="220" w:lineRule="auto"/>
        <w:contextualSpacing w:val="0"/>
        <w:rPr>
          <w:color w:val="330000"/>
          <w:highlight w:val="white"/>
        </w:rPr>
      </w:pPr>
      <w:r w:rsidDel="00000000" w:rsidR="00000000" w:rsidRPr="00000000">
        <w:rPr>
          <w:color w:val="330000"/>
          <w:highlight w:val="white"/>
          <w:rtl w:val="0"/>
        </w:rPr>
        <w:t xml:space="preserve">    In your answer, address the following: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220" w:before="22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color w:val="330000"/>
          <w:sz w:val="20"/>
          <w:szCs w:val="20"/>
          <w:highlight w:val="white"/>
          <w:rtl w:val="0"/>
        </w:rPr>
        <w:t xml:space="preserve">What Gayev does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220" w:before="22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color w:val="330000"/>
          <w:sz w:val="20"/>
          <w:szCs w:val="20"/>
          <w:highlight w:val="white"/>
          <w:rtl w:val="0"/>
        </w:rPr>
        <w:t xml:space="preserve">What Gayev says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Verdana" w:cs="Verdana" w:eastAsia="Verdana" w:hAnsi="Verdana"/>
        <w:color w:val="33000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330000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330000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